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69"/>
        <w:gridCol w:w="2700"/>
      </w:tblGrid>
      <w:tr w:rsidR="00477A47" w:rsidTr="009A7799">
        <w:tc>
          <w:tcPr>
            <w:tcW w:w="2552" w:type="dxa"/>
          </w:tcPr>
          <w:p w:rsidR="00477A47" w:rsidRDefault="009835E4" w:rsidP="009A7799">
            <w:bookmarkStart w:id="0" w:name="Logo"/>
            <w:r>
              <w:rPr>
                <w:noProof/>
              </w:rPr>
              <w:drawing>
                <wp:inline distT="0" distB="0" distL="0" distR="0" wp14:anchorId="7D33408B" wp14:editId="32400C9B">
                  <wp:extent cx="1148400" cy="600332"/>
                  <wp:effectExtent l="0" t="0" r="0" b="9525"/>
                  <wp:docPr id="1" name="Billede 1" descr="Q:\PPT\SAMLING\JV\Logo2013\LogoSortD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PPT\SAMLING\JV\Logo2013\LogoSortD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400" cy="600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69" w:type="dxa"/>
          </w:tcPr>
          <w:p w:rsidR="00477A47" w:rsidRPr="00A942AC" w:rsidRDefault="00477A47" w:rsidP="009A7799">
            <w:pPr>
              <w:rPr>
                <w:szCs w:val="21"/>
              </w:rPr>
            </w:pPr>
          </w:p>
        </w:tc>
        <w:tc>
          <w:tcPr>
            <w:tcW w:w="2700" w:type="dxa"/>
          </w:tcPr>
          <w:p w:rsidR="00477A47" w:rsidRPr="00A942AC" w:rsidRDefault="00477A47" w:rsidP="009A7799">
            <w:pPr>
              <w:rPr>
                <w:szCs w:val="21"/>
              </w:rPr>
            </w:pPr>
            <w:bookmarkStart w:id="1" w:name="Journalnr"/>
            <w:bookmarkEnd w:id="1"/>
          </w:p>
          <w:bookmarkStart w:id="2" w:name="Dato"/>
          <w:bookmarkEnd w:id="2"/>
          <w:p w:rsidR="00477A47" w:rsidRPr="00A942AC" w:rsidRDefault="00EF1AB3" w:rsidP="009A7799">
            <w:pPr>
              <w:rPr>
                <w:szCs w:val="21"/>
              </w:rPr>
            </w:pPr>
            <w:r>
              <w:fldChar w:fldCharType="begin"/>
            </w:r>
            <w:r>
              <w:instrText xml:space="preserve"> TIME  \@ "d. MMMM yyyy" </w:instrText>
            </w:r>
            <w:r>
              <w:fldChar w:fldCharType="separate"/>
            </w:r>
            <w:r w:rsidR="003F1968">
              <w:rPr>
                <w:noProof/>
              </w:rPr>
              <w:t>23. juni 2022</w:t>
            </w:r>
            <w:r>
              <w:fldChar w:fldCharType="end"/>
            </w:r>
          </w:p>
          <w:p w:rsidR="00477A47" w:rsidRPr="00A942AC" w:rsidRDefault="00EE539E" w:rsidP="009A7799">
            <w:pPr>
              <w:rPr>
                <w:szCs w:val="21"/>
              </w:rPr>
            </w:pPr>
            <w:bookmarkStart w:id="3" w:name="Brugerinitial"/>
            <w:bookmarkEnd w:id="3"/>
            <w:r>
              <w:rPr>
                <w:szCs w:val="21"/>
              </w:rPr>
              <w:t>TME</w:t>
            </w:r>
          </w:p>
          <w:p w:rsidR="00477A47" w:rsidRPr="00A942AC" w:rsidRDefault="00EE539E" w:rsidP="009A7799">
            <w:pPr>
              <w:rPr>
                <w:szCs w:val="21"/>
              </w:rPr>
            </w:pPr>
            <w:bookmarkStart w:id="4" w:name="kontor"/>
            <w:bookmarkEnd w:id="4"/>
            <w:r>
              <w:rPr>
                <w:szCs w:val="21"/>
              </w:rPr>
              <w:t>Nationalregnskab</w:t>
            </w:r>
          </w:p>
        </w:tc>
      </w:tr>
    </w:tbl>
    <w:p w:rsidR="00477A47" w:rsidRPr="00D803F3" w:rsidRDefault="00477A47" w:rsidP="00477A47">
      <w:pPr>
        <w:sectPr w:rsidR="00477A47" w:rsidRPr="00D803F3" w:rsidSect="0056349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459" w:right="794" w:bottom="1247" w:left="1191" w:header="454" w:footer="454" w:gutter="0"/>
          <w:cols w:space="708"/>
          <w:docGrid w:linePitch="360"/>
        </w:sectPr>
      </w:pPr>
      <w:bookmarkStart w:id="5" w:name="Sektion"/>
      <w:bookmarkEnd w:id="5"/>
    </w:p>
    <w:bookmarkStart w:id="6" w:name="Artikel" w:displacedByCustomXml="next"/>
    <w:bookmarkEnd w:id="6" w:displacedByCustomXml="next"/>
    <w:bookmarkStart w:id="7" w:name="Titel" w:displacedByCustomXml="next"/>
    <w:sdt>
      <w:sdtPr>
        <w:alias w:val="Titel"/>
        <w:tag w:val=""/>
        <w:id w:val="-1116371093"/>
        <w:placeholder>
          <w:docPart w:val="6445FFCD519E482BB96BD2BFD7E9181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477A47" w:rsidRDefault="00EE539E" w:rsidP="00477A47">
          <w:pPr>
            <w:pStyle w:val="Titel"/>
            <w:rPr>
              <w:rFonts w:ascii="Georgia" w:hAnsi="Georgia" w:cs="Times New Roman"/>
              <w:b w:val="0"/>
              <w:bCs w:val="0"/>
              <w:kern w:val="0"/>
              <w:sz w:val="20"/>
              <w:szCs w:val="24"/>
            </w:rPr>
          </w:pPr>
          <w:r>
            <w:t xml:space="preserve">Input </w:t>
          </w:r>
          <w:r w:rsidR="00F37100">
            <w:t xml:space="preserve">og output </w:t>
          </w:r>
          <w:r>
            <w:t>i produktion af biogas</w:t>
          </w:r>
        </w:p>
      </w:sdtContent>
    </w:sdt>
    <w:p w:rsidR="00477A47" w:rsidRDefault="00EE539E" w:rsidP="00477A47">
      <w:pPr>
        <w:rPr>
          <w:i/>
        </w:rPr>
      </w:pPr>
      <w:bookmarkStart w:id="8" w:name="Til"/>
      <w:bookmarkEnd w:id="8"/>
      <w:bookmarkEnd w:id="7"/>
      <w:r>
        <w:rPr>
          <w:i/>
        </w:rPr>
        <w:t xml:space="preserve">Notat </w:t>
      </w:r>
      <w:r w:rsidR="002E222C">
        <w:rPr>
          <w:i/>
        </w:rPr>
        <w:t xml:space="preserve">om metode anvendt </w:t>
      </w:r>
      <w:r>
        <w:rPr>
          <w:i/>
        </w:rPr>
        <w:t>til mængde-TA</w:t>
      </w:r>
    </w:p>
    <w:p w:rsidR="00EE539E" w:rsidRDefault="00EE539E" w:rsidP="00477A47">
      <w:pPr>
        <w:rPr>
          <w:i/>
        </w:rPr>
      </w:pPr>
    </w:p>
    <w:p w:rsidR="00BC6B31" w:rsidRPr="00A00E52" w:rsidRDefault="00A00E52" w:rsidP="00477A47">
      <w:pPr>
        <w:rPr>
          <w:b/>
        </w:rPr>
      </w:pPr>
      <w:r>
        <w:rPr>
          <w:b/>
        </w:rPr>
        <w:t>Metode til beregning</w:t>
      </w:r>
    </w:p>
    <w:p w:rsidR="00437580" w:rsidRDefault="00437580" w:rsidP="00477A47">
      <w:r>
        <w:t>Energistyrelsen laver en årlig oversigt over anvendte råvarer til biogasproduktion, der kan findes her:</w:t>
      </w:r>
    </w:p>
    <w:p w:rsidR="003F5621" w:rsidRDefault="003F1968" w:rsidP="00477A47">
      <w:hyperlink r:id="rId16" w:history="1">
        <w:r w:rsidR="00437580" w:rsidRPr="005B3ED2">
          <w:rPr>
            <w:rStyle w:val="Hyperlink"/>
          </w:rPr>
          <w:t>https://ens.dk/ansvarsomraader/bioenergi/energiafgroeder-til-biogas</w:t>
        </w:r>
      </w:hyperlink>
      <w:r w:rsidR="00437580">
        <w:t xml:space="preserve"> </w:t>
      </w:r>
    </w:p>
    <w:p w:rsidR="0017726A" w:rsidRDefault="00437580" w:rsidP="0017726A">
      <w:r>
        <w:t xml:space="preserve">Energistyrelsens opgørelse er våd vægt. Da tørstofindhold og input-output-forholdet varierer for de enkelte input, kan man ikke bare bruge en proportional fordeling. I stedet </w:t>
      </w:r>
      <w:r w:rsidR="00A00E52">
        <w:t xml:space="preserve">omregner vi input til tørstof. Der </w:t>
      </w:r>
      <w:r>
        <w:t>finde</w:t>
      </w:r>
      <w:r w:rsidR="00A00E52">
        <w:t>s</w:t>
      </w:r>
      <w:r>
        <w:t xml:space="preserve"> </w:t>
      </w:r>
      <w:r w:rsidR="00A00E52">
        <w:t>f.eks.</w:t>
      </w:r>
      <w:r>
        <w:t xml:space="preserve"> tørstofindhold</w:t>
      </w:r>
      <w:r w:rsidR="00A00E52">
        <w:t xml:space="preserve"> i</w:t>
      </w:r>
      <w:r>
        <w:t xml:space="preserve"> normtal for husdyrgødning. </w:t>
      </w:r>
      <w:r w:rsidR="00A00E52">
        <w:t xml:space="preserve">Derefter kan vi gange typiske forhold mellem input af </w:t>
      </w:r>
      <w:r w:rsidR="00502BD0">
        <w:t xml:space="preserve">tørstof og output af biogas på. </w:t>
      </w:r>
      <w:r w:rsidR="00A00E52">
        <w:t>Faktorerne justeres således, at out</w:t>
      </w:r>
      <w:r w:rsidR="00502BD0">
        <w:t xml:space="preserve">put stemmer nogenlunde med </w:t>
      </w:r>
      <w:r w:rsidR="00A00E52">
        <w:t>produktionen af biogas i energiregnskabet</w:t>
      </w:r>
      <w:r w:rsidR="00502BD0">
        <w:t xml:space="preserve"> i </w:t>
      </w:r>
      <w:r w:rsidR="000B1CFA">
        <w:t>2017</w:t>
      </w:r>
      <w:r w:rsidR="00A00E52">
        <w:t>.</w:t>
      </w:r>
      <w:r w:rsidR="00502BD0">
        <w:t xml:space="preserve"> Justering sker inden for de intervaller, der er opgivet i diverse kilder.</w:t>
      </w:r>
      <w:r w:rsidR="0017726A">
        <w:t xml:space="preserve"> For 201</w:t>
      </w:r>
      <w:r w:rsidR="000B1CFA">
        <w:t>8</w:t>
      </w:r>
      <w:r w:rsidR="0017726A">
        <w:t xml:space="preserve"> er der anvendt Energistyrelsens tal for 201</w:t>
      </w:r>
      <w:r w:rsidR="000B1CFA">
        <w:t>7</w:t>
      </w:r>
      <w:r w:rsidR="0017726A">
        <w:t>/201</w:t>
      </w:r>
      <w:r w:rsidR="000B1CFA">
        <w:t>8</w:t>
      </w:r>
      <w:r w:rsidR="0017726A">
        <w:t xml:space="preserve"> på input-siden. </w:t>
      </w:r>
      <w:r w:rsidR="0023416B">
        <w:t xml:space="preserve">I Energistyrelsens tal for input i 2018/2019 og følgende år mangler data for losseplads- og renseanlæg. De er derfor ikke anvendelige til fordeling. </w:t>
      </w:r>
      <w:r w:rsidR="0017726A">
        <w:t xml:space="preserve">Justering af tørstof-indhold og faktorer er lavet i regnearket. Efterfølgende er beregninger og aggregeringer lavet i </w:t>
      </w:r>
      <w:r w:rsidR="002E222C">
        <w:t xml:space="preserve">et </w:t>
      </w:r>
      <w:r w:rsidR="0017726A">
        <w:t xml:space="preserve">SAS-program. Til slut i SAS-programmet afstemmes biogas i ton med tallet fra MTA og residualt tørstof er fordelt på det, der går retur til landbruget og det, der går til forbrænding. </w:t>
      </w:r>
    </w:p>
    <w:p w:rsidR="00437580" w:rsidRDefault="00437580" w:rsidP="00477A47"/>
    <w:p w:rsidR="00A00E52" w:rsidRDefault="00A00E52" w:rsidP="00477A47">
      <w:r>
        <w:t>For hvert input bestemmes, hvilken branche der leverer det og hvilken behandling/anvendelse, der antages for resttørstoffet.</w:t>
      </w:r>
    </w:p>
    <w:p w:rsidR="00437580" w:rsidRDefault="00437580" w:rsidP="00477A47"/>
    <w:p w:rsidR="00437580" w:rsidRDefault="00437580" w:rsidP="00477A47"/>
    <w:p w:rsidR="00437580" w:rsidRPr="00437580" w:rsidRDefault="00437580" w:rsidP="00477A47">
      <w:pPr>
        <w:rPr>
          <w:b/>
        </w:rPr>
      </w:pPr>
      <w:r>
        <w:rPr>
          <w:b/>
        </w:rPr>
        <w:t>Produktion af biogas</w:t>
      </w:r>
    </w:p>
    <w:p w:rsidR="00EE539E" w:rsidRDefault="00993CE4" w:rsidP="00477A47">
      <w:r>
        <w:t>Tilgangen af biogas var ifølge energiregnskabet i 2016-2018:</w:t>
      </w:r>
    </w:p>
    <w:p w:rsidR="00993CE4" w:rsidRDefault="00993CE4" w:rsidP="00477A47"/>
    <w:tbl>
      <w:tblPr>
        <w:tblW w:w="5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940"/>
        <w:gridCol w:w="940"/>
        <w:gridCol w:w="940"/>
      </w:tblGrid>
      <w:tr w:rsidR="00993CE4" w:rsidRPr="00993CE4" w:rsidTr="00993CE4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Pr="00993CE4" w:rsidRDefault="00993CE4" w:rsidP="00993CE4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Pr="00993CE4" w:rsidRDefault="00993CE4" w:rsidP="00993CE4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Pr="00993CE4" w:rsidRDefault="00993CE4" w:rsidP="00993CE4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Pr="00993CE4" w:rsidRDefault="00993CE4" w:rsidP="00993CE4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2018</w:t>
            </w:r>
          </w:p>
        </w:tc>
      </w:tr>
      <w:tr w:rsidR="00993CE4" w:rsidRPr="00993CE4" w:rsidTr="00993CE4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Default="00993CE4" w:rsidP="00993CE4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Biogas, </w:t>
            </w:r>
          </w:p>
          <w:p w:rsidR="00993CE4" w:rsidRPr="00993CE4" w:rsidRDefault="00993CE4" w:rsidP="00993CE4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inkl. bionaturgas (1000 Nm3)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Pr="00993CE4" w:rsidRDefault="00993CE4" w:rsidP="00993CE4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color w:val="000000"/>
                <w:sz w:val="22"/>
                <w:szCs w:val="22"/>
              </w:rPr>
              <w:t>471</w:t>
            </w:r>
            <w:r w:rsidR="00195B3C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 w:rsidRPr="00993CE4">
              <w:rPr>
                <w:rFonts w:ascii="Calibri" w:hAnsi="Calibri"/>
                <w:color w:val="000000"/>
                <w:sz w:val="22"/>
                <w:szCs w:val="22"/>
              </w:rPr>
              <w:t>771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Pr="00993CE4" w:rsidRDefault="00993CE4" w:rsidP="00993CE4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color w:val="000000"/>
                <w:sz w:val="22"/>
                <w:szCs w:val="22"/>
              </w:rPr>
              <w:t>614</w:t>
            </w:r>
            <w:r w:rsidR="00195B3C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 w:rsidRPr="00993CE4">
              <w:rPr>
                <w:rFonts w:ascii="Calibri" w:hAnsi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CE4" w:rsidRPr="00993CE4" w:rsidRDefault="00993CE4" w:rsidP="00993CE4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3CE4">
              <w:rPr>
                <w:rFonts w:ascii="Calibri" w:hAnsi="Calibri"/>
                <w:color w:val="000000"/>
                <w:sz w:val="22"/>
                <w:szCs w:val="22"/>
              </w:rPr>
              <w:t>642</w:t>
            </w:r>
            <w:r w:rsidR="00195B3C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 w:rsidRPr="00993CE4"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</w:tr>
      <w:tr w:rsidR="00195B3C" w:rsidRPr="00993CE4" w:rsidTr="00993CE4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B3C" w:rsidRDefault="00195B3C" w:rsidP="00993CE4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Biogas i ton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B3C" w:rsidRDefault="00195B3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542.537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B3C" w:rsidRDefault="00195B3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706.641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B3C" w:rsidRDefault="00195B3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738.448</w:t>
            </w:r>
          </w:p>
        </w:tc>
      </w:tr>
      <w:tr w:rsidR="00195B3C" w:rsidRPr="00993CE4" w:rsidTr="00195B3C">
        <w:trPr>
          <w:trHeight w:val="300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95B3C" w:rsidRDefault="00195B3C" w:rsidP="00195B3C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ENE1HT</w:t>
            </w:r>
          </w:p>
          <w:p w:rsidR="00195B3C" w:rsidRPr="00195B3C" w:rsidRDefault="00195B3C" w:rsidP="00195B3C">
            <w:pPr>
              <w:spacing w:line="276" w:lineRule="auto"/>
              <w:jc w:val="left"/>
            </w:pPr>
            <w:r w:rsidRPr="00195B3C">
              <w:rPr>
                <w:b/>
              </w:rPr>
              <w:t>Omregning til ton</w:t>
            </w:r>
            <w:r w:rsidRPr="00195B3C">
              <w:rPr>
                <w:b/>
              </w:rPr>
              <w:br/>
            </w:r>
            <w:r>
              <w:t>Biogas har en massetæthed på</w:t>
            </w:r>
            <w:r w:rsidR="009503C6">
              <w:t xml:space="preserve"> </w:t>
            </w:r>
            <w:r>
              <w:t xml:space="preserve"> 1,15 kg/m3 (</w:t>
            </w:r>
            <w:hyperlink r:id="rId17" w:history="1">
              <w:r w:rsidRPr="005E1800">
                <w:rPr>
                  <w:rStyle w:val="Hyperlink"/>
                </w:rPr>
                <w:t>https://www.lemvigbiogas.com/BiogasPJJuk.pdf</w:t>
              </w:r>
            </w:hyperlink>
            <w:r>
              <w:t xml:space="preserve">) </w:t>
            </w:r>
          </w:p>
        </w:tc>
      </w:tr>
    </w:tbl>
    <w:p w:rsidR="00993CE4" w:rsidRDefault="00993CE4" w:rsidP="00477A47"/>
    <w:p w:rsidR="009503C6" w:rsidRDefault="009503C6" w:rsidP="00477A47">
      <w:r>
        <w:t xml:space="preserve">I </w:t>
      </w:r>
      <w:r w:rsidR="00412DC7">
        <w:t xml:space="preserve">de </w:t>
      </w:r>
      <w:r w:rsidR="003F1968">
        <w:t>mængde-TA’en</w:t>
      </w:r>
      <w:bookmarkStart w:id="9" w:name="_GoBack"/>
      <w:bookmarkEnd w:id="9"/>
      <w:r>
        <w:t xml:space="preserve"> er der regnet med en massetæthed på 1,16 kg/m3. Denne massetæthed er benyttet i regnearket. Massetætheden afhænger af forholdet mellem CH4 og CO2 i biogassen.</w:t>
      </w:r>
    </w:p>
    <w:p w:rsidR="009503C6" w:rsidRDefault="009503C6" w:rsidP="00477A47"/>
    <w:p w:rsidR="00195B3C" w:rsidRDefault="00705136" w:rsidP="00477A47">
      <w:r>
        <w:t>Energistyrelsen opgør produktionen af biogas på tre kilder:</w:t>
      </w:r>
    </w:p>
    <w:p w:rsidR="00705136" w:rsidRDefault="00705136" w:rsidP="00477A47"/>
    <w:tbl>
      <w:tblPr>
        <w:tblW w:w="474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1196"/>
        <w:gridCol w:w="1176"/>
        <w:gridCol w:w="1176"/>
      </w:tblGrid>
      <w:tr w:rsidR="00705136" w:rsidRPr="00705136" w:rsidTr="00705136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Biogas, TJ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5136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5136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5136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705136" w:rsidRPr="00705136" w:rsidTr="00705136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Default="007051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deponi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 196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 196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 169</w:t>
            </w:r>
          </w:p>
        </w:tc>
      </w:tr>
      <w:tr w:rsidR="00705136" w:rsidRPr="00705136" w:rsidTr="00705136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Default="007051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slam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1 057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 975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1 002</w:t>
            </w:r>
          </w:p>
        </w:tc>
      </w:tr>
      <w:tr w:rsidR="00705136" w:rsidRPr="00705136" w:rsidTr="00705136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Default="007051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7 795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9 882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136" w:rsidRPr="00705136" w:rsidRDefault="00705136" w:rsidP="00705136">
            <w:pPr>
              <w:spacing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5136">
              <w:rPr>
                <w:rFonts w:ascii="Arial" w:hAnsi="Arial" w:cs="Arial"/>
                <w:sz w:val="18"/>
                <w:szCs w:val="18"/>
              </w:rPr>
              <w:t xml:space="preserve"> 12 244</w:t>
            </w:r>
          </w:p>
        </w:tc>
      </w:tr>
    </w:tbl>
    <w:p w:rsidR="00705136" w:rsidRDefault="00705136" w:rsidP="00477A47"/>
    <w:p w:rsidR="00CE1A1E" w:rsidRDefault="00CE1A1E" w:rsidP="00477A47">
      <w:r>
        <w:t xml:space="preserve">Biogas består af 55-70 % metan (CH4) og 30-45 % kuldioxid (CO2). </w:t>
      </w:r>
    </w:p>
    <w:p w:rsidR="00705136" w:rsidRDefault="00CE1A1E" w:rsidP="00477A47">
      <w:r>
        <w:t>Energistyrelsen opgiver en brændværdi på 23 GJ / 1000 M3, som er uændret for perioden 1997-2018. Dvs. de regner med et bestemt metanindhold. Naturgas, der er næsten ren metan har en brændværdi 39-40 GJ /1000 m3. Ifølge skat regnes der med et indhold af metan på 65% (</w:t>
      </w:r>
      <w:hyperlink r:id="rId18" w:history="1">
        <w:r w:rsidRPr="005E1800">
          <w:rPr>
            <w:rStyle w:val="Hyperlink"/>
          </w:rPr>
          <w:t>https://skat.dk/skat.aspx?oid=2603</w:t>
        </w:r>
      </w:hyperlink>
      <w:r>
        <w:t>).</w:t>
      </w:r>
    </w:p>
    <w:p w:rsidR="00CE1A1E" w:rsidRDefault="00CE1A1E" w:rsidP="00477A47"/>
    <w:p w:rsidR="00CE1A1E" w:rsidRDefault="00FB47F8" w:rsidP="00477A47">
      <w:pPr>
        <w:rPr>
          <w:b/>
        </w:rPr>
      </w:pPr>
      <w:r>
        <w:rPr>
          <w:b/>
        </w:rPr>
        <w:t>Hvor produceres biogas</w:t>
      </w:r>
    </w:p>
    <w:p w:rsidR="004E3500" w:rsidRPr="004E3500" w:rsidRDefault="004E3500" w:rsidP="00FB47F8">
      <w:pPr>
        <w:rPr>
          <w:rFonts w:ascii="StoneSans" w:eastAsiaTheme="minorEastAsia" w:hAnsi="StoneSans" w:cs="StoneSans"/>
          <w:sz w:val="20"/>
          <w:szCs w:val="20"/>
        </w:rPr>
      </w:pPr>
      <w:r w:rsidRPr="004E3500">
        <w:rPr>
          <w:rFonts w:ascii="StoneSans" w:eastAsiaTheme="minorEastAsia" w:hAnsi="StoneSans" w:cs="StoneSans"/>
          <w:sz w:val="20"/>
          <w:szCs w:val="20"/>
        </w:rPr>
        <w:t>Antal anlæg i marts 2017</w:t>
      </w:r>
      <w:r>
        <w:rPr>
          <w:rFonts w:ascii="StoneSans" w:eastAsiaTheme="minorEastAsia" w:hAnsi="StoneSans" w:cs="StoneSans"/>
          <w:sz w:val="20"/>
          <w:szCs w:val="20"/>
        </w:rPr>
        <w:t xml:space="preserve"> (Energistyrelsen)</w:t>
      </w:r>
    </w:p>
    <w:p w:rsidR="004E3500" w:rsidRDefault="004E3500" w:rsidP="00FB47F8">
      <w:pPr>
        <w:rPr>
          <w:rFonts w:ascii="StoneSans" w:eastAsiaTheme="minorEastAsia" w:hAnsi="StoneSans" w:cs="StoneSans"/>
          <w:sz w:val="20"/>
          <w:szCs w:val="20"/>
        </w:rPr>
      </w:pPr>
      <w:r w:rsidRPr="004E3500">
        <w:rPr>
          <w:rFonts w:ascii="StoneSans" w:eastAsiaTheme="minorEastAsia" w:hAnsi="StoneSans" w:cs="StoneSans"/>
          <w:sz w:val="20"/>
          <w:szCs w:val="20"/>
        </w:rPr>
        <w:t>Renseanlæg</w:t>
      </w:r>
      <w:r w:rsidRPr="004E3500">
        <w:rPr>
          <w:rFonts w:ascii="StoneSans" w:eastAsiaTheme="minorEastAsia" w:hAnsi="StoneSans" w:cs="StoneSans"/>
          <w:sz w:val="20"/>
          <w:szCs w:val="20"/>
        </w:rPr>
        <w:tab/>
      </w:r>
      <w:r w:rsidR="00C36135">
        <w:rPr>
          <w:rFonts w:ascii="StoneSans" w:eastAsiaTheme="minorEastAsia" w:hAnsi="StoneSans" w:cs="StoneSans"/>
          <w:sz w:val="20"/>
          <w:szCs w:val="20"/>
        </w:rPr>
        <w:tab/>
      </w:r>
      <w:r>
        <w:rPr>
          <w:rFonts w:ascii="StoneSans" w:eastAsiaTheme="minorEastAsia" w:hAnsi="StoneSans" w:cs="StoneSans"/>
          <w:sz w:val="20"/>
          <w:szCs w:val="20"/>
        </w:rPr>
        <w:t>51</w:t>
      </w:r>
    </w:p>
    <w:p w:rsidR="004E3500" w:rsidRDefault="00C36135" w:rsidP="00FB47F8">
      <w:pPr>
        <w:rPr>
          <w:rFonts w:ascii="StoneSans" w:eastAsiaTheme="minorEastAsia" w:hAnsi="StoneSans" w:cs="StoneSans"/>
          <w:sz w:val="20"/>
          <w:szCs w:val="20"/>
        </w:rPr>
      </w:pPr>
      <w:r>
        <w:rPr>
          <w:rFonts w:ascii="StoneSans" w:eastAsiaTheme="minorEastAsia" w:hAnsi="StoneSans" w:cs="StoneSans"/>
          <w:sz w:val="20"/>
          <w:szCs w:val="20"/>
        </w:rPr>
        <w:t>Industrianlæg</w:t>
      </w:r>
      <w:r>
        <w:rPr>
          <w:rFonts w:ascii="StoneSans" w:eastAsiaTheme="minorEastAsia" w:hAnsi="StoneSans" w:cs="StoneSans"/>
          <w:sz w:val="20"/>
          <w:szCs w:val="20"/>
        </w:rPr>
        <w:tab/>
      </w:r>
      <w:r>
        <w:rPr>
          <w:rFonts w:ascii="StoneSans" w:eastAsiaTheme="minorEastAsia" w:hAnsi="StoneSans" w:cs="StoneSans"/>
          <w:sz w:val="20"/>
          <w:szCs w:val="20"/>
        </w:rPr>
        <w:tab/>
        <w:t>5</w:t>
      </w:r>
    </w:p>
    <w:p w:rsidR="00C36135" w:rsidRDefault="00C36135" w:rsidP="00FB47F8">
      <w:pPr>
        <w:rPr>
          <w:rFonts w:ascii="StoneSans" w:eastAsiaTheme="minorEastAsia" w:hAnsi="StoneSans" w:cs="StoneSans"/>
          <w:sz w:val="20"/>
          <w:szCs w:val="20"/>
        </w:rPr>
      </w:pPr>
      <w:r>
        <w:rPr>
          <w:rFonts w:ascii="StoneSans" w:eastAsiaTheme="minorEastAsia" w:hAnsi="StoneSans" w:cs="StoneSans"/>
          <w:sz w:val="20"/>
          <w:szCs w:val="20"/>
        </w:rPr>
        <w:t>Lossepladsanlæg</w:t>
      </w:r>
      <w:r>
        <w:rPr>
          <w:rFonts w:ascii="StoneSans" w:eastAsiaTheme="minorEastAsia" w:hAnsi="StoneSans" w:cs="StoneSans"/>
          <w:sz w:val="20"/>
          <w:szCs w:val="20"/>
        </w:rPr>
        <w:tab/>
        <w:t>27</w:t>
      </w:r>
    </w:p>
    <w:p w:rsidR="00C36135" w:rsidRPr="004E3500" w:rsidRDefault="00C36135" w:rsidP="00FB47F8">
      <w:pPr>
        <w:rPr>
          <w:rFonts w:ascii="StoneSans" w:eastAsiaTheme="minorEastAsia" w:hAnsi="StoneSans" w:cs="StoneSans"/>
          <w:sz w:val="20"/>
          <w:szCs w:val="20"/>
        </w:rPr>
      </w:pPr>
      <w:r>
        <w:rPr>
          <w:rFonts w:ascii="StoneSans" w:eastAsiaTheme="minorEastAsia" w:hAnsi="StoneSans" w:cs="StoneSans"/>
          <w:sz w:val="20"/>
          <w:szCs w:val="20"/>
        </w:rPr>
        <w:t>Fællesanlæg</w:t>
      </w:r>
      <w:r>
        <w:rPr>
          <w:rFonts w:ascii="StoneSans" w:eastAsiaTheme="minorEastAsia" w:hAnsi="StoneSans" w:cs="StoneSans"/>
          <w:sz w:val="20"/>
          <w:szCs w:val="20"/>
        </w:rPr>
        <w:tab/>
      </w:r>
      <w:r>
        <w:rPr>
          <w:rFonts w:ascii="StoneSans" w:eastAsiaTheme="minorEastAsia" w:hAnsi="StoneSans" w:cs="StoneSans"/>
          <w:sz w:val="20"/>
          <w:szCs w:val="20"/>
        </w:rPr>
        <w:tab/>
        <w:t>28</w:t>
      </w:r>
    </w:p>
    <w:p w:rsidR="004E3500" w:rsidRDefault="00C36135" w:rsidP="00FB47F8">
      <w:pPr>
        <w:rPr>
          <w:rFonts w:ascii="StoneSans" w:eastAsiaTheme="minorEastAsia" w:hAnsi="StoneSans" w:cs="StoneSans"/>
          <w:sz w:val="20"/>
          <w:szCs w:val="20"/>
        </w:rPr>
      </w:pPr>
      <w:r>
        <w:rPr>
          <w:rFonts w:ascii="StoneSans" w:eastAsiaTheme="minorEastAsia" w:hAnsi="StoneSans" w:cs="StoneSans"/>
          <w:sz w:val="20"/>
          <w:szCs w:val="20"/>
        </w:rPr>
        <w:t>Gårdanlæg</w:t>
      </w:r>
      <w:r>
        <w:rPr>
          <w:rFonts w:ascii="StoneSans" w:eastAsiaTheme="minorEastAsia" w:hAnsi="StoneSans" w:cs="StoneSans"/>
          <w:sz w:val="20"/>
          <w:szCs w:val="20"/>
        </w:rPr>
        <w:tab/>
      </w:r>
      <w:r>
        <w:rPr>
          <w:rFonts w:ascii="StoneSans" w:eastAsiaTheme="minorEastAsia" w:hAnsi="StoneSans" w:cs="StoneSans"/>
          <w:sz w:val="20"/>
          <w:szCs w:val="20"/>
        </w:rPr>
        <w:tab/>
        <w:t>55</w:t>
      </w:r>
    </w:p>
    <w:p w:rsidR="00C36135" w:rsidRDefault="00C36135" w:rsidP="00FB47F8">
      <w:pPr>
        <w:rPr>
          <w:rFonts w:ascii="StoneSans" w:eastAsiaTheme="minorEastAsia" w:hAnsi="StoneSans" w:cs="StoneSans"/>
          <w:sz w:val="20"/>
          <w:szCs w:val="20"/>
        </w:rPr>
      </w:pPr>
      <w:r>
        <w:rPr>
          <w:rFonts w:ascii="StoneSans" w:eastAsiaTheme="minorEastAsia" w:hAnsi="StoneSans" w:cs="StoneSans"/>
          <w:sz w:val="20"/>
          <w:szCs w:val="20"/>
        </w:rPr>
        <w:t xml:space="preserve">I alt </w:t>
      </w:r>
      <w:r>
        <w:rPr>
          <w:rFonts w:ascii="StoneSans" w:eastAsiaTheme="minorEastAsia" w:hAnsi="StoneSans" w:cs="StoneSans"/>
          <w:sz w:val="20"/>
          <w:szCs w:val="20"/>
        </w:rPr>
        <w:tab/>
      </w:r>
      <w:r>
        <w:rPr>
          <w:rFonts w:ascii="StoneSans" w:eastAsiaTheme="minorEastAsia" w:hAnsi="StoneSans" w:cs="StoneSans"/>
          <w:sz w:val="20"/>
          <w:szCs w:val="20"/>
        </w:rPr>
        <w:tab/>
        <w:t>167</w:t>
      </w:r>
    </w:p>
    <w:p w:rsidR="00C36135" w:rsidRPr="004E3500" w:rsidRDefault="00C36135" w:rsidP="00FB47F8">
      <w:pPr>
        <w:rPr>
          <w:rFonts w:ascii="StoneSans" w:eastAsiaTheme="minorEastAsia" w:hAnsi="StoneSans" w:cs="StoneSans"/>
          <w:sz w:val="20"/>
          <w:szCs w:val="20"/>
        </w:rPr>
      </w:pPr>
    </w:p>
    <w:p w:rsidR="00FB47F8" w:rsidRDefault="00FB47F8" w:rsidP="00FB47F8">
      <w:pPr>
        <w:rPr>
          <w:rFonts w:ascii="StoneSans" w:eastAsiaTheme="minorEastAsia" w:hAnsi="StoneSans" w:cs="StoneSans"/>
          <w:sz w:val="20"/>
          <w:szCs w:val="20"/>
        </w:rPr>
      </w:pPr>
    </w:p>
    <w:p w:rsidR="00FB47F8" w:rsidRDefault="00FB47F8" w:rsidP="00FB47F8">
      <w:pPr>
        <w:rPr>
          <w:b/>
        </w:rPr>
      </w:pPr>
      <w:r>
        <w:rPr>
          <w:b/>
        </w:rPr>
        <w:t>Input/Output-forhold</w:t>
      </w:r>
    </w:p>
    <w:p w:rsidR="00FB47F8" w:rsidRDefault="00FB47F8" w:rsidP="00FB47F8"/>
    <w:p w:rsidR="002406E3" w:rsidRDefault="002406E3" w:rsidP="00FB47F8"/>
    <w:p w:rsidR="00FB47F8" w:rsidRDefault="00C35FC9" w:rsidP="00FB47F8">
      <w:r>
        <w:rPr>
          <w:noProof/>
        </w:rPr>
        <w:drawing>
          <wp:inline distT="0" distB="0" distL="0" distR="0" wp14:anchorId="4CD836D7" wp14:editId="6CF2AED9">
            <wp:extent cx="4679950" cy="3540468"/>
            <wp:effectExtent l="0" t="0" r="6350" b="3175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3540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6E3" w:rsidRDefault="002406E3" w:rsidP="00FB47F8">
      <w:r w:rsidRPr="002406E3">
        <w:t>Pri</w:t>
      </w:r>
      <w:r>
        <w:t>mary sludge er slam, der er bundfældet i rensningsanlæg.</w:t>
      </w:r>
    </w:p>
    <w:p w:rsidR="002406E3" w:rsidRDefault="00012610" w:rsidP="00FB47F8">
      <w:r>
        <w:t xml:space="preserve">Biological sludge er slam, der kommer efter en biologisk udfældningsproces i rensningsanlæg for spildevand. </w:t>
      </w:r>
    </w:p>
    <w:p w:rsidR="001D045B" w:rsidRDefault="001D045B" w:rsidP="00FB47F8">
      <w:r>
        <w:t xml:space="preserve">Flotation sludge er slam, der kommer fra skimning af overfladen i et rensningsanlæg. </w:t>
      </w:r>
    </w:p>
    <w:p w:rsidR="001D045B" w:rsidRDefault="001D045B" w:rsidP="00FB47F8">
      <w:r>
        <w:t>Det kan antages, at spildevandsslam er en blanding af disse.</w:t>
      </w:r>
    </w:p>
    <w:p w:rsidR="002406E3" w:rsidRDefault="002406E3" w:rsidP="00FB47F8">
      <w:pPr>
        <w:rPr>
          <w:b/>
        </w:rPr>
      </w:pPr>
    </w:p>
    <w:p w:rsidR="00C35FC9" w:rsidRDefault="00202451" w:rsidP="00FB47F8">
      <w:pPr>
        <w:rPr>
          <w:b/>
        </w:rPr>
      </w:pPr>
      <w:r>
        <w:rPr>
          <w:b/>
        </w:rPr>
        <w:t>Input til biogas-produktionen</w:t>
      </w:r>
    </w:p>
    <w:p w:rsidR="00662616" w:rsidRDefault="00662616" w:rsidP="00FB47F8">
      <w:r>
        <w:rPr>
          <w:noProof/>
        </w:rPr>
        <w:lastRenderedPageBreak/>
        <w:drawing>
          <wp:inline distT="0" distB="0" distL="0" distR="0" wp14:anchorId="53718995" wp14:editId="3B7E1673">
            <wp:extent cx="4679950" cy="3856405"/>
            <wp:effectExtent l="0" t="0" r="635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385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616" w:rsidRDefault="00662616" w:rsidP="00FB47F8">
      <w:r>
        <w:t>Den samlede produktion i 2016 var mere end dobbelt så højt som i 2004 og tre gang så højt i 2018. Så det vil være godt med nyere tal.</w:t>
      </w:r>
      <w:r w:rsidR="00EC2470">
        <w:t xml:space="preserve"> Tallene kan heller ikke umiddelbart bruges til fordeling, da stigningen formentlig ikke fordeler sig jævnt over input.</w:t>
      </w:r>
    </w:p>
    <w:p w:rsidR="00EC2470" w:rsidRDefault="00EC2470" w:rsidP="00FB47F8"/>
    <w:p w:rsidR="00EC2470" w:rsidRDefault="00EC2470" w:rsidP="00FB47F8">
      <w:pPr>
        <w:rPr>
          <w:b/>
        </w:rPr>
      </w:pPr>
      <w:r>
        <w:rPr>
          <w:b/>
        </w:rPr>
        <w:t>Tørstofindhold</w:t>
      </w:r>
    </w:p>
    <w:p w:rsidR="0016053E" w:rsidRDefault="0016053E" w:rsidP="00FB47F8">
      <w:r>
        <w:t>Tørstofindhold i husdyrgødning tager udgangspunkt i ”Normtal 2016” fra Aarhus Universitet:</w:t>
      </w:r>
    </w:p>
    <w:p w:rsidR="00EC2470" w:rsidRDefault="003F1968" w:rsidP="00FB47F8">
      <w:hyperlink r:id="rId21" w:history="1">
        <w:r w:rsidR="0016053E" w:rsidRPr="00155444">
          <w:rPr>
            <w:rStyle w:val="Hyperlink"/>
          </w:rPr>
          <w:t>https://anis.au.dk/forskning/sektioner/husdyrernaering-og-fysiologi/normtal/</w:t>
        </w:r>
      </w:hyperlink>
      <w:r w:rsidR="0016053E">
        <w:t xml:space="preserve"> </w:t>
      </w:r>
    </w:p>
    <w:p w:rsidR="0016053E" w:rsidRDefault="00AE1601" w:rsidP="00FB47F8">
      <w:r>
        <w:t>Kategorien ”</w:t>
      </w:r>
      <w:r w:rsidRPr="00AE1601">
        <w:t>Slam og spildevand samt uforurenede produktrester</w:t>
      </w:r>
      <w:r>
        <w:t>” er den største kategori under ”industriaffald”. Ifølge MST dækker dette input fra vegetabilske fødevarer og mejerier.</w:t>
      </w:r>
    </w:p>
    <w:p w:rsidR="00AE1601" w:rsidRDefault="00AE1601" w:rsidP="00FB47F8">
      <w:r>
        <w:t>Det har derfor stor betydning for den samlede beregning, hvad det dækker. Nedenfor er fundet et eksempel fra Hashøj Biogasanlæg:</w:t>
      </w:r>
    </w:p>
    <w:p w:rsidR="00AE1601" w:rsidRDefault="00AE1601" w:rsidP="00FB47F8">
      <w:r>
        <w:t>(</w:t>
      </w:r>
      <w:hyperlink r:id="rId22" w:history="1">
        <w:r w:rsidRPr="00155444">
          <w:rPr>
            <w:rStyle w:val="Hyperlink"/>
          </w:rPr>
          <w:t>https://www.google.com/url?sa=t&amp;rct=j&amp;q=&amp;esrc=s&amp;source=web&amp;cd=3&amp;ved=2ahUKEwjtw63Fjs7nAhVyk4sKHT92A-MQFjACegQIBRAB&amp;url=https%3A%2F%2Fwww.envina.dk%2Fsites%2Fdefault%2Ffiles%2Fu40%2FTM_49%2Fbiogas2_slagelse.pptx&amp;usg=AOvVaw0EjQvqb6icOUGZMVj9RWGB</w:t>
        </w:r>
      </w:hyperlink>
      <w:r>
        <w:t xml:space="preserve"> )</w:t>
      </w:r>
    </w:p>
    <w:p w:rsidR="00AE1601" w:rsidRDefault="001D045B" w:rsidP="00FB47F8">
      <w:pPr>
        <w:rPr>
          <w:noProof/>
        </w:rPr>
      </w:pPr>
      <w:r>
        <w:rPr>
          <w:noProof/>
        </w:rPr>
        <w:t>Her er angivet at noget slam</w:t>
      </w:r>
      <w:r w:rsidR="00CB7C3B">
        <w:rPr>
          <w:noProof/>
        </w:rPr>
        <w:t xml:space="preserve"> fra indus</w:t>
      </w:r>
      <w:r w:rsidR="00EF1AB3">
        <w:rPr>
          <w:noProof/>
        </w:rPr>
        <w:t>t</w:t>
      </w:r>
      <w:r w:rsidR="00CB7C3B">
        <w:rPr>
          <w:noProof/>
        </w:rPr>
        <w:t xml:space="preserve">ri </w:t>
      </w:r>
      <w:r>
        <w:rPr>
          <w:noProof/>
        </w:rPr>
        <w:t>har tørstofindhold på 4,5-5 %.</w:t>
      </w:r>
      <w:r w:rsidR="00EF1AB3">
        <w:rPr>
          <w:noProof/>
        </w:rPr>
        <w:t xml:space="preserve"> Der er her valgt </w:t>
      </w:r>
      <w:r w:rsidR="00D81255">
        <w:rPr>
          <w:noProof/>
        </w:rPr>
        <w:t>4,</w:t>
      </w:r>
      <w:r w:rsidR="00067FA6">
        <w:rPr>
          <w:noProof/>
        </w:rPr>
        <w:t>5</w:t>
      </w:r>
      <w:r w:rsidR="00EF1AB3">
        <w:rPr>
          <w:noProof/>
        </w:rPr>
        <w:t xml:space="preserve"> % tørstof. Det er den inputkategori, der giver den største usikkerhed i beregningerne, da det er uklart, hvad det er og den udgør en stor del af input. </w:t>
      </w:r>
    </w:p>
    <w:p w:rsidR="001C54A8" w:rsidRDefault="00CB7C3B" w:rsidP="00FB47F8">
      <w:pPr>
        <w:rPr>
          <w:noProof/>
        </w:rPr>
      </w:pPr>
      <w:r>
        <w:rPr>
          <w:noProof/>
        </w:rPr>
        <w:t>Tørstof og biogasfaktor i spildevandsslam fra rensningsanlæg er afstemt, så det nogenlunde passer med, at potentialet for biogasproduktion er fuld udnyttet i 2017/2018.</w:t>
      </w:r>
      <w:r w:rsidR="00F5167B">
        <w:rPr>
          <w:noProof/>
        </w:rPr>
        <w:t xml:space="preserve"> Dette giver en produktion på i alt 133 mio. m3 biogas. Ifølge årsberetning fra Lyngby-Tårbæk forsyning (</w:t>
      </w:r>
      <w:hyperlink r:id="rId23" w:history="1">
        <w:r w:rsidR="00F5167B" w:rsidRPr="00CA1DCF">
          <w:rPr>
            <w:rStyle w:val="Hyperlink"/>
            <w:noProof/>
          </w:rPr>
          <w:t>https://ltf.dk/wp-content/uploads/aarsberetning-2018.pdf</w:t>
        </w:r>
      </w:hyperlink>
      <w:r w:rsidR="00F5167B">
        <w:rPr>
          <w:noProof/>
        </w:rPr>
        <w:t xml:space="preserve">), så var deres produktion omkring 1 mio m3 biogas.  Dette er baseret på spildevand fra 150.000 personer ~ 2,6 pct. af Danmarks befolkning. En simpel opregning betyder, at den samlede produktion af biogas fra spildevandsslam skulle være 40 mio. m3. </w:t>
      </w:r>
      <w:r w:rsidR="001C54A8">
        <w:rPr>
          <w:noProof/>
        </w:rPr>
        <w:t xml:space="preserve">Renseanlæg Damhusåen har en biogasproduktion på ca. 2 mio Nm3/år med input fra ca. </w:t>
      </w:r>
      <w:r w:rsidR="001C54A8">
        <w:rPr>
          <w:noProof/>
        </w:rPr>
        <w:lastRenderedPageBreak/>
        <w:t>350.000 personer og Biofos producerer 13,5 mio. Nm3 biogas med input fra 1,2 mio. indbyggere. (</w:t>
      </w:r>
      <w:hyperlink r:id="rId24" w:history="1">
        <w:r w:rsidR="001C54A8" w:rsidRPr="00CA1DCF">
          <w:rPr>
            <w:rStyle w:val="Hyperlink"/>
            <w:noProof/>
          </w:rPr>
          <w:t>https://biofos.dk/wwwroot/media/1302/biofos-miljoeberetning-2018.pdf</w:t>
        </w:r>
      </w:hyperlink>
      <w:r w:rsidR="001C54A8">
        <w:rPr>
          <w:noProof/>
        </w:rPr>
        <w:t xml:space="preserve"> )</w:t>
      </w:r>
    </w:p>
    <w:p w:rsidR="00CB7C3B" w:rsidRDefault="00731C5F" w:rsidP="00FB47F8">
      <w:pPr>
        <w:rPr>
          <w:noProof/>
        </w:rPr>
      </w:pPr>
      <w:r>
        <w:rPr>
          <w:noProof/>
        </w:rPr>
        <w:t>Der er altså grund til at antage, at omregningsfaktorerne ift. tørstof og biogasfaktor skal justeres</w:t>
      </w:r>
      <w:r w:rsidR="00A7426D">
        <w:rPr>
          <w:noProof/>
        </w:rPr>
        <w:t xml:space="preserve"> </w:t>
      </w:r>
      <w:r w:rsidR="003059C2">
        <w:rPr>
          <w:noProof/>
        </w:rPr>
        <w:t>noget ned</w:t>
      </w:r>
      <w:r>
        <w:rPr>
          <w:noProof/>
        </w:rPr>
        <w:t>.</w:t>
      </w:r>
      <w:r w:rsidR="00F5167B">
        <w:rPr>
          <w:noProof/>
        </w:rPr>
        <w:t xml:space="preserve"> </w:t>
      </w:r>
    </w:p>
    <w:p w:rsidR="00067FA6" w:rsidRDefault="00067FA6" w:rsidP="00FB47F8">
      <w:pPr>
        <w:rPr>
          <w:noProof/>
        </w:rPr>
      </w:pPr>
    </w:p>
    <w:p w:rsidR="00067FA6" w:rsidRDefault="00067FA6" w:rsidP="00067FA6">
      <w:pPr>
        <w:rPr>
          <w:b/>
          <w:noProof/>
        </w:rPr>
      </w:pPr>
      <w:r>
        <w:rPr>
          <w:b/>
          <w:noProof/>
        </w:rPr>
        <w:t>Afstemning</w:t>
      </w:r>
    </w:p>
    <w:p w:rsidR="00067FA6" w:rsidRDefault="00067FA6" w:rsidP="00067FA6">
      <w:pPr>
        <w:rPr>
          <w:noProof/>
        </w:rPr>
      </w:pPr>
      <w:r>
        <w:rPr>
          <w:noProof/>
        </w:rPr>
        <w:t>Afstemning ift. hvilke biogasfaktorer og tørstofprocenter, der vælges, er lavet ved at holde den samlede produktion af biogas op mod energiregnskabet. Desuden er der i Energistyrelsens opgørelse en opstilling af forholdet mellem input og produktion af biogas for hovedkategorier for fælles og gårdanlæg, der bruges til tilpasning:</w:t>
      </w:r>
    </w:p>
    <w:p w:rsidR="00067FA6" w:rsidRDefault="00067FA6" w:rsidP="00067FA6">
      <w:pPr>
        <w:rPr>
          <w:noProof/>
        </w:rPr>
      </w:pPr>
    </w:p>
    <w:p w:rsidR="00067FA6" w:rsidRDefault="00067FA6" w:rsidP="00067FA6">
      <w:pPr>
        <w:rPr>
          <w:noProof/>
        </w:rPr>
      </w:pPr>
      <w:r w:rsidRPr="00067FA6">
        <w:rPr>
          <w:noProof/>
        </w:rPr>
        <w:drawing>
          <wp:inline distT="0" distB="0" distL="0" distR="0">
            <wp:extent cx="4679950" cy="2054404"/>
            <wp:effectExtent l="0" t="0" r="6350" b="317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205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FA6" w:rsidRDefault="00067FA6" w:rsidP="00067FA6">
      <w:pPr>
        <w:rPr>
          <w:noProof/>
        </w:rPr>
      </w:pPr>
    </w:p>
    <w:p w:rsidR="00F37100" w:rsidRDefault="00F37100" w:rsidP="00FB47F8">
      <w:pPr>
        <w:rPr>
          <w:noProof/>
        </w:rPr>
      </w:pPr>
    </w:p>
    <w:p w:rsidR="00F37100" w:rsidRDefault="00F37100" w:rsidP="00FB47F8">
      <w:pPr>
        <w:rPr>
          <w:b/>
          <w:noProof/>
        </w:rPr>
      </w:pPr>
      <w:r>
        <w:rPr>
          <w:b/>
          <w:noProof/>
        </w:rPr>
        <w:t>Output</w:t>
      </w:r>
      <w:r w:rsidR="00F5167B">
        <w:rPr>
          <w:b/>
          <w:noProof/>
        </w:rPr>
        <w:t xml:space="preserve"> af restslam</w:t>
      </w:r>
    </w:p>
    <w:p w:rsidR="00F37100" w:rsidRDefault="00F37100" w:rsidP="00FB47F8">
      <w:pPr>
        <w:rPr>
          <w:noProof/>
        </w:rPr>
      </w:pPr>
      <w:r>
        <w:rPr>
          <w:noProof/>
        </w:rPr>
        <w:t>Restproduktet fra biogasproduktion kan anvendes til gødning i landbruget, hvis det overholder grænseværdier for tungmetaller mv.</w:t>
      </w:r>
      <w:r w:rsidR="00ED6E82">
        <w:rPr>
          <w:noProof/>
        </w:rPr>
        <w:t xml:space="preserve"> Ellers går det til forbrænding.</w:t>
      </w:r>
    </w:p>
    <w:p w:rsidR="00892465" w:rsidRDefault="00892465" w:rsidP="00FB47F8">
      <w:pPr>
        <w:rPr>
          <w:noProof/>
        </w:rPr>
      </w:pPr>
      <w:r>
        <w:rPr>
          <w:noProof/>
        </w:rPr>
        <w:t>Det er især spildevandsslam, der kan indeholder tungmetaller og derfor går til forbrænding. Ifølge Miljøstyrelsen (</w:t>
      </w:r>
      <w:hyperlink r:id="rId26" w:history="1">
        <w:r w:rsidRPr="00CA1DCF">
          <w:rPr>
            <w:rStyle w:val="Hyperlink"/>
            <w:noProof/>
          </w:rPr>
          <w:t>https://mst.dk/affald-jord/affald/affaldsfraktioner/spildevandsslam/</w:t>
        </w:r>
      </w:hyperlink>
      <w:r>
        <w:rPr>
          <w:noProof/>
        </w:rPr>
        <w:t>)  er der en målsætning i ressourceplan 2013-2018 om, at 80 % af fosforen fra spildevandsslam genanvendes ved udbringning på landbrugsjord eller udvinding af fosfor før forbrænding.</w:t>
      </w:r>
    </w:p>
    <w:p w:rsidR="00E817F1" w:rsidRDefault="00892465" w:rsidP="00FB47F8">
      <w:pPr>
        <w:rPr>
          <w:noProof/>
        </w:rPr>
      </w:pPr>
      <w:r>
        <w:rPr>
          <w:noProof/>
        </w:rPr>
        <w:t xml:space="preserve">Ifølge affaldsregnskabet går </w:t>
      </w:r>
      <w:r w:rsidR="00E817F1">
        <w:rPr>
          <w:noProof/>
        </w:rPr>
        <w:t xml:space="preserve">98.000 (107.000) ton af slam fra rensningsanlæg til genanvendelse og 22.000 (19.000) ton til forbrænding  i 2016 (2017). Genanvendelsen er formentlig leverance til eksternt biogasanlæg. </w:t>
      </w:r>
    </w:p>
    <w:p w:rsidR="00E817F1" w:rsidRDefault="00E817F1" w:rsidP="00FB47F8">
      <w:pPr>
        <w:rPr>
          <w:noProof/>
        </w:rPr>
      </w:pPr>
      <w:r>
        <w:rPr>
          <w:noProof/>
        </w:rPr>
        <w:t>Andet slam udgør 57.600 ton, hvor af 48.600 går til genanvendelse, 1.800 til forbrænding og 7.100 til deponering. 28.600 ton kommer fra industrien – især mejerier og slagterier. 11.300 fra forsyningsvirksomhed.</w:t>
      </w:r>
    </w:p>
    <w:p w:rsidR="009E6A50" w:rsidRDefault="009E6A50" w:rsidP="00FB47F8">
      <w:pPr>
        <w:rPr>
          <w:noProof/>
        </w:rPr>
      </w:pPr>
      <w:r>
        <w:rPr>
          <w:noProof/>
        </w:rPr>
        <w:t>Ifølge biofos miljøberetning</w:t>
      </w:r>
      <w:r w:rsidR="007C55AC">
        <w:rPr>
          <w:noProof/>
        </w:rPr>
        <w:t xml:space="preserve"> (</w:t>
      </w:r>
      <w:hyperlink r:id="rId27" w:history="1">
        <w:r w:rsidR="007C55AC" w:rsidRPr="00CA1DCF">
          <w:rPr>
            <w:rStyle w:val="Hyperlink"/>
            <w:noProof/>
          </w:rPr>
          <w:t>https://biofos.dk/wwwroot/media/1302/biofos-miljoeberetning-2018.pdf</w:t>
        </w:r>
      </w:hyperlink>
      <w:r w:rsidR="007C55AC">
        <w:rPr>
          <w:noProof/>
        </w:rPr>
        <w:t>)</w:t>
      </w:r>
      <w:r>
        <w:rPr>
          <w:noProof/>
        </w:rPr>
        <w:t>, så havde de 21.800 ton slam, der gik til forbrænding. Dette svarer godt med, at det meste restslam fra spildevand bliver brændt.</w:t>
      </w:r>
      <w:r w:rsidR="004C104C">
        <w:rPr>
          <w:noProof/>
        </w:rPr>
        <w:t xml:space="preserve"> </w:t>
      </w:r>
      <w:r w:rsidR="007C55AC">
        <w:rPr>
          <w:noProof/>
        </w:rPr>
        <w:t xml:space="preserve">Der er så en rest af aske på 2.201 t tørstof/år der går til genanvendelse og 4.689 t tørstof aske, der går til eget deponering (eget depot), samt </w:t>
      </w:r>
      <w:r w:rsidR="00BF18DF">
        <w:rPr>
          <w:noProof/>
        </w:rPr>
        <w:t>553 t tørstof røggasaffald, der går til deponering.</w:t>
      </w:r>
    </w:p>
    <w:p w:rsidR="00D42758" w:rsidRDefault="00D42758" w:rsidP="00FB47F8">
      <w:pPr>
        <w:rPr>
          <w:noProof/>
        </w:rPr>
      </w:pPr>
      <w:r>
        <w:rPr>
          <w:noProof/>
        </w:rPr>
        <w:t>Der forskes i løsninger til at genvinding af aske fra spildevandsslam (</w:t>
      </w:r>
      <w:hyperlink r:id="rId28" w:history="1">
        <w:r w:rsidRPr="00C1281C">
          <w:rPr>
            <w:rStyle w:val="Hyperlink"/>
            <w:noProof/>
          </w:rPr>
          <w:t>https://www.dtu.dk/om-dtu/nyheder-og-presse/dynamo1/2019/04/vaerdifulde-stoffer-i-aske-kan-genvindes?id=d4b8b7e1-8894-437f-b137-0cc317c5da2f</w:t>
        </w:r>
      </w:hyperlink>
      <w:r>
        <w:rPr>
          <w:noProof/>
        </w:rPr>
        <w:t xml:space="preserve"> )</w:t>
      </w:r>
    </w:p>
    <w:p w:rsidR="00892465" w:rsidRPr="00F37100" w:rsidRDefault="00E817F1" w:rsidP="00FB47F8">
      <w:pPr>
        <w:rPr>
          <w:noProof/>
        </w:rPr>
      </w:pPr>
      <w:r>
        <w:rPr>
          <w:noProof/>
        </w:rPr>
        <w:t xml:space="preserve"> </w:t>
      </w:r>
    </w:p>
    <w:sectPr w:rsidR="00892465" w:rsidRPr="00F37100" w:rsidSect="00CF4972">
      <w:headerReference w:type="default" r:id="rId29"/>
      <w:footerReference w:type="default" r:id="rId30"/>
      <w:type w:val="continuous"/>
      <w:pgSz w:w="11906" w:h="16838" w:code="9"/>
      <w:pgMar w:top="1021" w:right="794" w:bottom="1247" w:left="3742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39E" w:rsidRDefault="00EE539E" w:rsidP="00E816D9">
      <w:r>
        <w:separator/>
      </w:r>
    </w:p>
  </w:endnote>
  <w:endnote w:type="continuationSeparator" w:id="0">
    <w:p w:rsidR="00EE539E" w:rsidRDefault="00EE539E" w:rsidP="00E8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FD" w:rsidRDefault="00EE0EFD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1969313"/>
      <w:docPartObj>
        <w:docPartGallery w:val="Page Numbers (Bottom of Page)"/>
        <w:docPartUnique/>
      </w:docPartObj>
    </w:sdtPr>
    <w:sdtEndPr/>
    <w:sdtContent>
      <w:p w:rsidR="00477A47" w:rsidRDefault="00477A47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968">
          <w:rPr>
            <w:noProof/>
          </w:rPr>
          <w:t>1</w:t>
        </w:r>
        <w:r>
          <w:fldChar w:fldCharType="end"/>
        </w:r>
        <w:r w:rsidR="009A027A">
          <w:t>/</w:t>
        </w:r>
        <w:r w:rsidR="009A027A">
          <w:fldChar w:fldCharType="begin"/>
        </w:r>
        <w:r w:rsidR="009A027A">
          <w:instrText xml:space="preserve"> NUMPAGES  \# "0"  \* MERGEFORMAT </w:instrText>
        </w:r>
        <w:r w:rsidR="009A027A">
          <w:fldChar w:fldCharType="separate"/>
        </w:r>
        <w:r w:rsidR="003F1968">
          <w:rPr>
            <w:noProof/>
          </w:rPr>
          <w:t>4</w:t>
        </w:r>
        <w:r w:rsidR="009A027A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2831307"/>
      <w:docPartObj>
        <w:docPartGallery w:val="Page Numbers (Bottom of Page)"/>
        <w:docPartUnique/>
      </w:docPartObj>
    </w:sdtPr>
    <w:sdtEndPr/>
    <w:sdtContent>
      <w:p w:rsidR="00477A47" w:rsidRDefault="00477A47" w:rsidP="00303413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49C">
          <w:rPr>
            <w:noProof/>
          </w:rPr>
          <w:t>1</w:t>
        </w:r>
        <w:r>
          <w:fldChar w:fldCharType="end"/>
        </w:r>
        <w:r>
          <w:t>/</w:t>
        </w:r>
        <w:r w:rsidR="003F1968">
          <w:fldChar w:fldCharType="begin"/>
        </w:r>
        <w:r w:rsidR="003F1968">
          <w:instrText xml:space="preserve"> NUMPAGES   \* MERGEFORMAT </w:instrText>
        </w:r>
        <w:r w:rsidR="003F1968">
          <w:fldChar w:fldCharType="separate"/>
        </w:r>
        <w:r w:rsidR="00EE539E">
          <w:rPr>
            <w:noProof/>
          </w:rPr>
          <w:t>1</w:t>
        </w:r>
        <w:r w:rsidR="003F1968">
          <w:rPr>
            <w:noProof/>
          </w:rPr>
          <w:fldChar w:fldCharType="end"/>
        </w:r>
      </w:p>
    </w:sdtContent>
  </w:sdt>
  <w:p w:rsidR="00477A47" w:rsidRDefault="00477A47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A19" w:rsidRDefault="003F1968" w:rsidP="00EC48A1">
    <w:pPr>
      <w:pStyle w:val="Sidefod"/>
      <w:ind w:firstLine="1304"/>
      <w:jc w:val="right"/>
    </w:pPr>
    <w:sdt>
      <w:sdtPr>
        <w:id w:val="-58738149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C5A19">
          <w:fldChar w:fldCharType="begin"/>
        </w:r>
        <w:r w:rsidR="00BC5A19">
          <w:instrText xml:space="preserve"> PAGE   \* MERGEFORMAT </w:instrText>
        </w:r>
        <w:r w:rsidR="00BC5A19">
          <w:fldChar w:fldCharType="separate"/>
        </w:r>
        <w:r>
          <w:rPr>
            <w:noProof/>
          </w:rPr>
          <w:t>2</w:t>
        </w:r>
        <w:r w:rsidR="00BC5A19">
          <w:rPr>
            <w:noProof/>
          </w:rPr>
          <w:fldChar w:fldCharType="end"/>
        </w:r>
        <w:r w:rsidR="00EC48A1">
          <w:rPr>
            <w:noProof/>
          </w:rPr>
          <w:t>/</w:t>
        </w:r>
      </w:sdtContent>
    </w:sdt>
    <w:r w:rsidR="00EC48A1">
      <w:fldChar w:fldCharType="begin"/>
    </w:r>
    <w:r w:rsidR="00EC48A1">
      <w:instrText xml:space="preserve"> NUMPAGES   \* MERGEFORMAT </w:instrText>
    </w:r>
    <w:r w:rsidR="00EC48A1">
      <w:fldChar w:fldCharType="separate"/>
    </w:r>
    <w:r>
      <w:rPr>
        <w:noProof/>
      </w:rPr>
      <w:t>4</w:t>
    </w:r>
    <w:r w:rsidR="00EC48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39E" w:rsidRDefault="00EE539E" w:rsidP="00E816D9">
      <w:r>
        <w:separator/>
      </w:r>
    </w:p>
  </w:footnote>
  <w:footnote w:type="continuationSeparator" w:id="0">
    <w:p w:rsidR="00EE539E" w:rsidRDefault="00EE539E" w:rsidP="00E81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A47" w:rsidRDefault="00477A47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A47" w:rsidRDefault="00477A47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A47" w:rsidRDefault="00477A47">
    <w:pPr>
      <w:pStyle w:val="Sidehove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A19" w:rsidRDefault="00BC5A19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45C10E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1CE0366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BBD6A118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F5C0192"/>
    <w:lvl w:ilvl="0">
      <w:start w:val="1"/>
      <w:numFmt w:val="bullet"/>
      <w:pStyle w:val="Opstilling-punkttegn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3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1304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9E"/>
    <w:rsid w:val="0001253D"/>
    <w:rsid w:val="00012610"/>
    <w:rsid w:val="00036441"/>
    <w:rsid w:val="000553B1"/>
    <w:rsid w:val="00056AEA"/>
    <w:rsid w:val="00065CAA"/>
    <w:rsid w:val="00066A92"/>
    <w:rsid w:val="00067FA6"/>
    <w:rsid w:val="000B1CFA"/>
    <w:rsid w:val="000B7DE5"/>
    <w:rsid w:val="000C0111"/>
    <w:rsid w:val="000E408D"/>
    <w:rsid w:val="000F225A"/>
    <w:rsid w:val="00126A89"/>
    <w:rsid w:val="00135440"/>
    <w:rsid w:val="0016053E"/>
    <w:rsid w:val="0017726A"/>
    <w:rsid w:val="00195B3C"/>
    <w:rsid w:val="001A24CC"/>
    <w:rsid w:val="001B0C38"/>
    <w:rsid w:val="001B1BDD"/>
    <w:rsid w:val="001C42BD"/>
    <w:rsid w:val="001C54A8"/>
    <w:rsid w:val="001D045B"/>
    <w:rsid w:val="001E11B9"/>
    <w:rsid w:val="001E2EB1"/>
    <w:rsid w:val="00202451"/>
    <w:rsid w:val="00204C0E"/>
    <w:rsid w:val="0021097A"/>
    <w:rsid w:val="00216E61"/>
    <w:rsid w:val="0023416B"/>
    <w:rsid w:val="002406E3"/>
    <w:rsid w:val="00247266"/>
    <w:rsid w:val="002544EF"/>
    <w:rsid w:val="002628D0"/>
    <w:rsid w:val="00290A89"/>
    <w:rsid w:val="00292888"/>
    <w:rsid w:val="00294654"/>
    <w:rsid w:val="002955AB"/>
    <w:rsid w:val="002A1914"/>
    <w:rsid w:val="002C07BE"/>
    <w:rsid w:val="002E222C"/>
    <w:rsid w:val="002E70D1"/>
    <w:rsid w:val="00304207"/>
    <w:rsid w:val="003059C2"/>
    <w:rsid w:val="00332DE5"/>
    <w:rsid w:val="00333025"/>
    <w:rsid w:val="00335E65"/>
    <w:rsid w:val="00353326"/>
    <w:rsid w:val="00372B38"/>
    <w:rsid w:val="00380541"/>
    <w:rsid w:val="00390B6C"/>
    <w:rsid w:val="00392C71"/>
    <w:rsid w:val="003B1BD3"/>
    <w:rsid w:val="003C5D0C"/>
    <w:rsid w:val="003E0228"/>
    <w:rsid w:val="003F1968"/>
    <w:rsid w:val="003F5621"/>
    <w:rsid w:val="004029D3"/>
    <w:rsid w:val="00405A07"/>
    <w:rsid w:val="004079D8"/>
    <w:rsid w:val="00412DC7"/>
    <w:rsid w:val="00426D92"/>
    <w:rsid w:val="00435850"/>
    <w:rsid w:val="00437580"/>
    <w:rsid w:val="00477A47"/>
    <w:rsid w:val="004874BA"/>
    <w:rsid w:val="00492D83"/>
    <w:rsid w:val="004B2ACD"/>
    <w:rsid w:val="004B589E"/>
    <w:rsid w:val="004C104C"/>
    <w:rsid w:val="004C5FDA"/>
    <w:rsid w:val="004D3DE5"/>
    <w:rsid w:val="004E26B6"/>
    <w:rsid w:val="004E3500"/>
    <w:rsid w:val="00502BD0"/>
    <w:rsid w:val="00502F32"/>
    <w:rsid w:val="00515E91"/>
    <w:rsid w:val="005213FF"/>
    <w:rsid w:val="0056349C"/>
    <w:rsid w:val="00564D4E"/>
    <w:rsid w:val="005721F1"/>
    <w:rsid w:val="00576C7E"/>
    <w:rsid w:val="0058085A"/>
    <w:rsid w:val="005929C2"/>
    <w:rsid w:val="005E7ED1"/>
    <w:rsid w:val="00611F38"/>
    <w:rsid w:val="00647B65"/>
    <w:rsid w:val="00653C8E"/>
    <w:rsid w:val="00662616"/>
    <w:rsid w:val="00666874"/>
    <w:rsid w:val="00673F98"/>
    <w:rsid w:val="00675689"/>
    <w:rsid w:val="006809C7"/>
    <w:rsid w:val="00683F9B"/>
    <w:rsid w:val="00690995"/>
    <w:rsid w:val="006914C1"/>
    <w:rsid w:val="006A106D"/>
    <w:rsid w:val="0070043C"/>
    <w:rsid w:val="00705136"/>
    <w:rsid w:val="007270EB"/>
    <w:rsid w:val="00731C5F"/>
    <w:rsid w:val="0074369F"/>
    <w:rsid w:val="00774545"/>
    <w:rsid w:val="00784C8C"/>
    <w:rsid w:val="007911EB"/>
    <w:rsid w:val="007935B6"/>
    <w:rsid w:val="007938EE"/>
    <w:rsid w:val="0079594D"/>
    <w:rsid w:val="007A2785"/>
    <w:rsid w:val="007A5080"/>
    <w:rsid w:val="007A6CCD"/>
    <w:rsid w:val="007C55AC"/>
    <w:rsid w:val="007D2D47"/>
    <w:rsid w:val="008213CA"/>
    <w:rsid w:val="00826C04"/>
    <w:rsid w:val="008545ED"/>
    <w:rsid w:val="008652A6"/>
    <w:rsid w:val="00880B4A"/>
    <w:rsid w:val="0088741C"/>
    <w:rsid w:val="00892465"/>
    <w:rsid w:val="008B1D85"/>
    <w:rsid w:val="008B404D"/>
    <w:rsid w:val="008C172F"/>
    <w:rsid w:val="008D066B"/>
    <w:rsid w:val="00907BD2"/>
    <w:rsid w:val="00935AE4"/>
    <w:rsid w:val="009503C6"/>
    <w:rsid w:val="00970076"/>
    <w:rsid w:val="009835E4"/>
    <w:rsid w:val="00990050"/>
    <w:rsid w:val="00993CE4"/>
    <w:rsid w:val="009A027A"/>
    <w:rsid w:val="009C3AD7"/>
    <w:rsid w:val="009E6A50"/>
    <w:rsid w:val="009F78B2"/>
    <w:rsid w:val="00A00E52"/>
    <w:rsid w:val="00A15D15"/>
    <w:rsid w:val="00A53FE8"/>
    <w:rsid w:val="00A7426D"/>
    <w:rsid w:val="00A82AAE"/>
    <w:rsid w:val="00A83473"/>
    <w:rsid w:val="00AA387B"/>
    <w:rsid w:val="00AC41D4"/>
    <w:rsid w:val="00AD324A"/>
    <w:rsid w:val="00AE1601"/>
    <w:rsid w:val="00AE66A8"/>
    <w:rsid w:val="00B142E7"/>
    <w:rsid w:val="00B204F0"/>
    <w:rsid w:val="00B32D89"/>
    <w:rsid w:val="00B630E6"/>
    <w:rsid w:val="00BC1DAC"/>
    <w:rsid w:val="00BC5A19"/>
    <w:rsid w:val="00BC6B31"/>
    <w:rsid w:val="00BD77BA"/>
    <w:rsid w:val="00BF18DF"/>
    <w:rsid w:val="00C07C5A"/>
    <w:rsid w:val="00C310A9"/>
    <w:rsid w:val="00C35FC9"/>
    <w:rsid w:val="00C36135"/>
    <w:rsid w:val="00C4394F"/>
    <w:rsid w:val="00C539EC"/>
    <w:rsid w:val="00C66B51"/>
    <w:rsid w:val="00C66CE5"/>
    <w:rsid w:val="00C71B95"/>
    <w:rsid w:val="00C8165A"/>
    <w:rsid w:val="00CA0C8E"/>
    <w:rsid w:val="00CB7C3B"/>
    <w:rsid w:val="00CC1F53"/>
    <w:rsid w:val="00CC36D8"/>
    <w:rsid w:val="00CC6BBC"/>
    <w:rsid w:val="00CE1A1E"/>
    <w:rsid w:val="00CF4972"/>
    <w:rsid w:val="00CF54D3"/>
    <w:rsid w:val="00D0458B"/>
    <w:rsid w:val="00D2287A"/>
    <w:rsid w:val="00D35EBF"/>
    <w:rsid w:val="00D42758"/>
    <w:rsid w:val="00D548E5"/>
    <w:rsid w:val="00D556A0"/>
    <w:rsid w:val="00D63BA8"/>
    <w:rsid w:val="00D64D4D"/>
    <w:rsid w:val="00D720BF"/>
    <w:rsid w:val="00D81255"/>
    <w:rsid w:val="00DA1CC7"/>
    <w:rsid w:val="00DA5D56"/>
    <w:rsid w:val="00DB3F5D"/>
    <w:rsid w:val="00DB7FBB"/>
    <w:rsid w:val="00DC1F87"/>
    <w:rsid w:val="00DE20A2"/>
    <w:rsid w:val="00DE30C6"/>
    <w:rsid w:val="00DE6039"/>
    <w:rsid w:val="00E03B11"/>
    <w:rsid w:val="00E30C6A"/>
    <w:rsid w:val="00E50A9C"/>
    <w:rsid w:val="00E51C08"/>
    <w:rsid w:val="00E67314"/>
    <w:rsid w:val="00E816D9"/>
    <w:rsid w:val="00E817F1"/>
    <w:rsid w:val="00EA4B4C"/>
    <w:rsid w:val="00EC2470"/>
    <w:rsid w:val="00EC38F1"/>
    <w:rsid w:val="00EC48A1"/>
    <w:rsid w:val="00ED2756"/>
    <w:rsid w:val="00ED6E82"/>
    <w:rsid w:val="00EE0EFD"/>
    <w:rsid w:val="00EE539E"/>
    <w:rsid w:val="00EF1AB3"/>
    <w:rsid w:val="00F10312"/>
    <w:rsid w:val="00F30D53"/>
    <w:rsid w:val="00F37100"/>
    <w:rsid w:val="00F5167B"/>
    <w:rsid w:val="00F55E86"/>
    <w:rsid w:val="00F729E1"/>
    <w:rsid w:val="00F75E10"/>
    <w:rsid w:val="00F77576"/>
    <w:rsid w:val="00F96AD0"/>
    <w:rsid w:val="00FA043C"/>
    <w:rsid w:val="00FB47F8"/>
    <w:rsid w:val="00FB7F6A"/>
    <w:rsid w:val="00FC750C"/>
    <w:rsid w:val="00FD0082"/>
    <w:rsid w:val="00FD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952AFF"/>
  <w15:docId w15:val="{2FA8862E-9715-49EA-A19D-E94C46BB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A47"/>
    <w:pPr>
      <w:spacing w:after="0" w:line="264" w:lineRule="auto"/>
      <w:jc w:val="both"/>
    </w:pPr>
    <w:rPr>
      <w:rFonts w:ascii="Georgia" w:eastAsia="Times New Roman" w:hAnsi="Georgia" w:cs="Times New Roman"/>
      <w:sz w:val="21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477A47"/>
    <w:pPr>
      <w:keepNext/>
      <w:keepLines/>
      <w:spacing w:before="480" w:after="240" w:line="240" w:lineRule="auto"/>
      <w:jc w:val="left"/>
      <w:outlineLvl w:val="0"/>
    </w:pPr>
    <w:rPr>
      <w:rFonts w:ascii="Arial" w:hAnsi="Arial" w:cs="Arial"/>
      <w:b/>
      <w:bCs/>
      <w:sz w:val="26"/>
      <w:szCs w:val="26"/>
    </w:rPr>
  </w:style>
  <w:style w:type="paragraph" w:styleId="Overskrift2">
    <w:name w:val="heading 2"/>
    <w:basedOn w:val="Normal"/>
    <w:next w:val="Normal"/>
    <w:link w:val="Overskrift2Tegn"/>
    <w:qFormat/>
    <w:rsid w:val="00477A47"/>
    <w:pPr>
      <w:keepNext/>
      <w:keepLines/>
      <w:spacing w:before="360" w:after="160" w:line="240" w:lineRule="auto"/>
      <w:jc w:val="left"/>
      <w:outlineLvl w:val="1"/>
    </w:pPr>
    <w:rPr>
      <w:rFonts w:ascii="Arial" w:hAnsi="Arial" w:cs="Arial"/>
      <w:b/>
      <w:bCs/>
      <w:iCs/>
      <w:sz w:val="24"/>
    </w:rPr>
  </w:style>
  <w:style w:type="paragraph" w:styleId="Overskrift3">
    <w:name w:val="heading 3"/>
    <w:basedOn w:val="Normal"/>
    <w:next w:val="Normal"/>
    <w:link w:val="Overskrift3Tegn"/>
    <w:qFormat/>
    <w:rsid w:val="00477A47"/>
    <w:pPr>
      <w:keepNext/>
      <w:keepLines/>
      <w:spacing w:before="240" w:after="80" w:line="240" w:lineRule="auto"/>
      <w:jc w:val="left"/>
      <w:outlineLvl w:val="2"/>
    </w:pPr>
    <w:rPr>
      <w:rFonts w:ascii="Arial" w:hAnsi="Arial" w:cs="Arial"/>
      <w:b/>
      <w:bCs/>
      <w:sz w:val="20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rmateretHTML">
    <w:name w:val="HTML Preformatted"/>
    <w:basedOn w:val="Normal"/>
    <w:link w:val="FormateretHTMLTegn"/>
    <w:rsid w:val="00477A47"/>
    <w:rPr>
      <w:rFonts w:ascii="Courier New" w:hAnsi="Courier New" w:cs="Courier New"/>
      <w:szCs w:val="20"/>
    </w:rPr>
  </w:style>
  <w:style w:type="character" w:customStyle="1" w:styleId="FormateretHTMLTegn">
    <w:name w:val="Formateret HTML Tegn"/>
    <w:basedOn w:val="Standardskrifttypeiafsnit"/>
    <w:link w:val="FormateretHTML"/>
    <w:rsid w:val="00477A47"/>
    <w:rPr>
      <w:rFonts w:ascii="Courier New" w:eastAsia="Times New Roman" w:hAnsi="Courier New" w:cs="Courier New"/>
      <w:sz w:val="21"/>
      <w:szCs w:val="20"/>
    </w:rPr>
  </w:style>
  <w:style w:type="paragraph" w:styleId="Indholdsfortegnelse1">
    <w:name w:val="toc 1"/>
    <w:basedOn w:val="Normal"/>
    <w:next w:val="Normal"/>
    <w:autoRedefine/>
    <w:semiHidden/>
    <w:rsid w:val="00477A47"/>
    <w:pPr>
      <w:spacing w:before="120"/>
    </w:pPr>
    <w:rPr>
      <w:b/>
    </w:rPr>
  </w:style>
  <w:style w:type="paragraph" w:styleId="Indholdsfortegnelse2">
    <w:name w:val="toc 2"/>
    <w:basedOn w:val="Normal"/>
    <w:next w:val="Normal"/>
    <w:autoRedefine/>
    <w:semiHidden/>
    <w:rsid w:val="00477A47"/>
    <w:pPr>
      <w:spacing w:before="60"/>
    </w:pPr>
  </w:style>
  <w:style w:type="paragraph" w:styleId="Indholdsfortegnelse3">
    <w:name w:val="toc 3"/>
    <w:basedOn w:val="Normal"/>
    <w:next w:val="Normal"/>
    <w:autoRedefine/>
    <w:semiHidden/>
    <w:rsid w:val="00477A47"/>
  </w:style>
  <w:style w:type="paragraph" w:customStyle="1" w:styleId="Ledetekst">
    <w:name w:val="Ledetekst"/>
    <w:basedOn w:val="Normal"/>
    <w:next w:val="Normal"/>
    <w:rsid w:val="00294654"/>
    <w:pPr>
      <w:keepNext/>
      <w:framePr w:w="2268" w:hSpace="284" w:wrap="notBeside" w:vAnchor="text" w:hAnchor="page" w:y="1"/>
      <w:suppressAutoHyphens/>
      <w:spacing w:line="288" w:lineRule="auto"/>
      <w:jc w:val="right"/>
    </w:pPr>
    <w:rPr>
      <w:rFonts w:ascii="Arial" w:hAnsi="Arial"/>
      <w:sz w:val="19"/>
    </w:rPr>
  </w:style>
  <w:style w:type="paragraph" w:customStyle="1" w:styleId="LedetekstTNS">
    <w:name w:val="LedetekstTNS"/>
    <w:basedOn w:val="Ledetekst"/>
    <w:next w:val="Normal"/>
    <w:rsid w:val="00477A47"/>
    <w:pPr>
      <w:pageBreakBefore/>
      <w:framePr w:wrap="notBeside"/>
    </w:pPr>
  </w:style>
  <w:style w:type="paragraph" w:styleId="Opstilling-punkttegn">
    <w:name w:val="List Bullet"/>
    <w:basedOn w:val="Normal"/>
    <w:rsid w:val="00477A47"/>
    <w:pPr>
      <w:numPr>
        <w:numId w:val="9"/>
      </w:numPr>
    </w:pPr>
  </w:style>
  <w:style w:type="paragraph" w:styleId="Opstilling-punkttegn2">
    <w:name w:val="List Bullet 2"/>
    <w:basedOn w:val="Normal"/>
    <w:rsid w:val="00477A47"/>
    <w:pPr>
      <w:numPr>
        <w:numId w:val="10"/>
      </w:numPr>
    </w:pPr>
  </w:style>
  <w:style w:type="paragraph" w:styleId="Opstilling-punkttegn3">
    <w:name w:val="List Bullet 3"/>
    <w:basedOn w:val="Normal"/>
    <w:autoRedefine/>
    <w:rsid w:val="00477A47"/>
    <w:pPr>
      <w:numPr>
        <w:numId w:val="11"/>
      </w:numPr>
    </w:pPr>
  </w:style>
  <w:style w:type="paragraph" w:styleId="Opstilling-talellerbogst">
    <w:name w:val="List Number"/>
    <w:basedOn w:val="Normal"/>
    <w:rsid w:val="00477A47"/>
    <w:pPr>
      <w:numPr>
        <w:numId w:val="12"/>
      </w:numPr>
    </w:pPr>
  </w:style>
  <w:style w:type="character" w:customStyle="1" w:styleId="Overskrift1Tegn">
    <w:name w:val="Overskrift 1 Tegn"/>
    <w:basedOn w:val="Standardskrifttypeiafsnit"/>
    <w:link w:val="Overskrift1"/>
    <w:rsid w:val="00477A47"/>
    <w:rPr>
      <w:rFonts w:ascii="Arial" w:eastAsia="Times New Roman" w:hAnsi="Arial" w:cs="Arial"/>
      <w:b/>
      <w:bCs/>
      <w:sz w:val="26"/>
      <w:szCs w:val="26"/>
    </w:rPr>
  </w:style>
  <w:style w:type="character" w:customStyle="1" w:styleId="Overskrift2Tegn">
    <w:name w:val="Overskrift 2 Tegn"/>
    <w:basedOn w:val="Standardskrifttypeiafsnit"/>
    <w:link w:val="Overskrift2"/>
    <w:rsid w:val="00477A47"/>
    <w:rPr>
      <w:rFonts w:ascii="Arial" w:eastAsia="Times New Roman" w:hAnsi="Arial" w:cs="Arial"/>
      <w:b/>
      <w:bCs/>
      <w:iCs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rsid w:val="00477A47"/>
    <w:rPr>
      <w:rFonts w:ascii="Arial" w:eastAsia="Times New Roman" w:hAnsi="Arial" w:cs="Arial"/>
      <w:b/>
      <w:bCs/>
      <w:sz w:val="20"/>
    </w:rPr>
  </w:style>
  <w:style w:type="paragraph" w:styleId="Sidefod">
    <w:name w:val="footer"/>
    <w:basedOn w:val="Normal"/>
    <w:link w:val="SidefodTegn"/>
    <w:uiPriority w:val="99"/>
    <w:rsid w:val="00477A47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7A47"/>
    <w:rPr>
      <w:rFonts w:ascii="Georgia" w:eastAsia="Times New Roman" w:hAnsi="Georgia" w:cs="Times New Roman"/>
      <w:sz w:val="21"/>
      <w:szCs w:val="24"/>
    </w:rPr>
  </w:style>
  <w:style w:type="paragraph" w:styleId="Sidehoved">
    <w:name w:val="header"/>
    <w:basedOn w:val="Normal"/>
    <w:link w:val="SidehovedTegn"/>
    <w:rsid w:val="00477A4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477A47"/>
    <w:rPr>
      <w:rFonts w:ascii="Georgia" w:eastAsia="Times New Roman" w:hAnsi="Georgia" w:cs="Times New Roman"/>
      <w:sz w:val="21"/>
      <w:szCs w:val="24"/>
    </w:rPr>
  </w:style>
  <w:style w:type="character" w:styleId="Sidetal">
    <w:name w:val="page number"/>
    <w:basedOn w:val="Standardskrifttypeiafsnit"/>
    <w:rsid w:val="00477A47"/>
  </w:style>
  <w:style w:type="paragraph" w:customStyle="1" w:styleId="Tab">
    <w:name w:val="Tab"/>
    <w:basedOn w:val="Normal"/>
    <w:next w:val="Normal"/>
    <w:rsid w:val="00477A47"/>
    <w:pPr>
      <w:tabs>
        <w:tab w:val="left" w:pos="7598"/>
      </w:tabs>
    </w:pPr>
  </w:style>
  <w:style w:type="paragraph" w:styleId="Titel">
    <w:name w:val="Title"/>
    <w:basedOn w:val="Normal"/>
    <w:next w:val="Normal"/>
    <w:link w:val="TitelTegn"/>
    <w:qFormat/>
    <w:rsid w:val="00477A47"/>
    <w:pPr>
      <w:keepNext/>
      <w:keepLines/>
      <w:spacing w:before="480" w:after="240" w:line="240" w:lineRule="auto"/>
      <w:jc w:val="left"/>
    </w:pPr>
    <w:rPr>
      <w:rFonts w:ascii="Arial" w:hAnsi="Arial" w:cs="Arial"/>
      <w:b/>
      <w:bCs/>
      <w:kern w:val="28"/>
      <w:sz w:val="30"/>
      <w:szCs w:val="32"/>
    </w:rPr>
  </w:style>
  <w:style w:type="character" w:customStyle="1" w:styleId="TitelTegn">
    <w:name w:val="Titel Tegn"/>
    <w:basedOn w:val="Standardskrifttypeiafsnit"/>
    <w:link w:val="Titel"/>
    <w:rsid w:val="00477A47"/>
    <w:rPr>
      <w:rFonts w:ascii="Arial" w:eastAsia="Times New Roman" w:hAnsi="Arial" w:cs="Arial"/>
      <w:b/>
      <w:bCs/>
      <w:kern w:val="28"/>
      <w:sz w:val="30"/>
      <w:szCs w:val="32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77A47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77A47"/>
    <w:rPr>
      <w:rFonts w:ascii="Tahoma" w:eastAsia="Times New Roman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477A47"/>
    <w:rPr>
      <w:color w:val="808080"/>
    </w:rPr>
  </w:style>
  <w:style w:type="table" w:styleId="Tabel-Gitter">
    <w:name w:val="Table Grid"/>
    <w:basedOn w:val="Tabel-Normal"/>
    <w:uiPriority w:val="59"/>
    <w:rsid w:val="00477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Standardskrifttypeiafsnit"/>
    <w:uiPriority w:val="99"/>
    <w:unhideWhenUsed/>
    <w:rsid w:val="00195B3C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EF1A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skat.dk/skat.aspx?oid=2603" TargetMode="External"/><Relationship Id="rId26" Type="http://schemas.openxmlformats.org/officeDocument/2006/relationships/hyperlink" Target="https://mst.dk/affald-jord/affald/affaldsfraktioner/spildevandsslam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anis.au.dk/forskning/sektioner/husdyrernaering-og-fysiologi/normtal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lemvigbiogas.com/BiogasPJJuk.pdf" TargetMode="External"/><Relationship Id="rId25" Type="http://schemas.openxmlformats.org/officeDocument/2006/relationships/image" Target="media/image4.emf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ns.dk/ansvarsomraader/bioenergi/energiafgroeder-til-biogas" TargetMode="External"/><Relationship Id="rId20" Type="http://schemas.openxmlformats.org/officeDocument/2006/relationships/image" Target="media/image3.pn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biofos.dk/wwwroot/media/1302/biofos-miljoeberetning-2018.pdf" TargetMode="External"/><Relationship Id="rId32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ltf.dk/wp-content/uploads/aarsberetning-2018.pdf" TargetMode="External"/><Relationship Id="rId28" Type="http://schemas.openxmlformats.org/officeDocument/2006/relationships/hyperlink" Target="https://www.dtu.dk/om-dtu/nyheder-og-presse/dynamo1/2019/04/vaerdifulde-stoffer-i-aske-kan-genvindes?id=d4b8b7e1-8894-437f-b137-0cc317c5da2f" TargetMode="External"/><Relationship Id="rId10" Type="http://schemas.openxmlformats.org/officeDocument/2006/relationships/header" Target="header1.xml"/><Relationship Id="rId19" Type="http://schemas.openxmlformats.org/officeDocument/2006/relationships/image" Target="media/image2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eader" Target="header3.xml"/><Relationship Id="rId22" Type="http://schemas.openxmlformats.org/officeDocument/2006/relationships/hyperlink" Target="https://www.google.com/url?sa=t&amp;rct=j&amp;q=&amp;esrc=s&amp;source=web&amp;cd=3&amp;ved=2ahUKEwjtw63Fjs7nAhVyk4sKHT92A-MQFjACegQIBRAB&amp;url=https%3A%2F%2Fwww.envina.dk%2Fsites%2Fdefault%2Ffiles%2Fu40%2FTM_49%2Fbiogas2_slagelse.pptx&amp;usg=AOvVaw0EjQvqb6icOUGZMVj9RWGB" TargetMode="External"/><Relationship Id="rId27" Type="http://schemas.openxmlformats.org/officeDocument/2006/relationships/hyperlink" Target="https://biofos.dk/wwwroot/media/1302/biofos-miljoeberetning-2018.pdf" TargetMode="External"/><Relationship Id="rId30" Type="http://schemas.openxmlformats.org/officeDocument/2006/relationships/footer" Target="footer4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pplication%20Data\Microsoft\skabeloner\DsNotat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45FFCD519E482BB96BD2BFD7E9181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0969876-469C-4070-B1D2-D289C85F7436}"/>
      </w:docPartPr>
      <w:docPartBody>
        <w:p w:rsidR="004C01CE" w:rsidRDefault="004C01CE">
          <w:pPr>
            <w:pStyle w:val="6445FFCD519E482BB96BD2BFD7E91816"/>
          </w:pPr>
          <w:r w:rsidRPr="00DD41F3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CE"/>
    <w:rsid w:val="004C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6445FFCD519E482BB96BD2BFD7E91816">
    <w:name w:val="6445FFCD519E482BB96BD2BFD7E918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Standardegenskaber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6000F-D14F-48AD-8F02-25B29FC5F1EE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E982BBB7-5C36-4116-8877-27377DA93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DsNotat.dotm</Template>
  <TotalTime>15</TotalTime>
  <Pages>4</Pages>
  <Words>1167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Input og output i produktion af biogas</vt:lpstr>
    </vt:vector>
  </TitlesOfParts>
  <Company>Danmarks Statistik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og output i produktion af biogas</dc:title>
  <dc:creator>TME</dc:creator>
  <cp:lastModifiedBy>Thomas Eisler</cp:lastModifiedBy>
  <cp:revision>5</cp:revision>
  <dcterms:created xsi:type="dcterms:W3CDTF">2022-06-22T12:48:00Z</dcterms:created>
  <dcterms:modified xsi:type="dcterms:W3CDTF">2022-06-23T06:56:00Z</dcterms:modified>
</cp:coreProperties>
</file>